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ПАМЯТКА ЛИЦУ,</w:t>
        <w:br/>
        <w:t>ПОЛУЧИВШЕМУ НАПРАВЛЕНИЕ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МЕДИКО-СОЦИАЛЬНУЮ ЭКСПЕРТИЗУ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своевременного установления страховой пенсии по</w:t>
        <w:br/>
        <w:t>инвалидности Вам необходимо сразу после получения направления</w:t>
        <w:br/>
        <w:t>на МСЭ ЗАБЛАГОВРЕМЕННО обратиться в территориальный</w:t>
        <w:br/>
        <w:t>орган Пенсионного фонда Российской Федерации.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Обращение производится: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ЛИЧНО (через законного представителя)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Клиентскую службу Государственного учреждения - Управления Пенсионного фонда Российской Федерации в г.Коврове Владимирской области (межрайонного) по адресу г.Ковров, ул.Свердлова, д.22 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Возможна предварительная запись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Записаться на личный прием к специалисту можно по телефонам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8 (49232) 2-13-46, 2-14-66, а также через федеральную государственную информационную систему «Единый портал государственных и муниципальных услуг».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72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ИЛИ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Через работодателя (в случае, если между территориальным органом ПФР и работодателем заключено соглашение об электронном документообороте).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Для сведения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федеральные и муниципальные учреждения, организации и предприятия соответствующие соглашения с территориальными органами ПФР заключили.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bidi w:val="0"/>
        <w:spacing w:before="0" w:after="34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Для установления страховой пенсии</w:t>
        <w:br/>
        <w:t>необходимо предоставить следующие документы;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Паспорт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Трудовая книжка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Документ о профессиональном образовании (диплом, свидетельство)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Военный билет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Свидетельство о браке, в случае смены фамилии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Для женщин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свидетельства о рождении детей - обязательно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11" w:val="left"/>
        </w:tabs>
        <w:bidi w:val="0"/>
        <w:spacing w:before="0" w:line="240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Для мужчин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: свидетельства о рождении детей при наличии иждивенцев, (дети, не достигшие 18-ти лет, а также обучающиеся по очной форме обучения до достижения 23-х лет)</w:t>
      </w:r>
    </w:p>
    <w:sectPr>
      <w:footnotePr>
        <w:pos w:val="pageBottom"/>
        <w:numFmt w:val="decimal"/>
        <w:numRestart w:val="continuous"/>
      </w:footnotePr>
      <w:pgSz w:w="12240" w:h="15840"/>
      <w:pgMar w:top="1095" w:left="1516" w:right="1245" w:bottom="1095" w:header="667" w:footer="667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CharStyle6">
    <w:name w:val="Основной текст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 (2)"/>
    <w:basedOn w:val="Normal"/>
    <w:link w:val="CharStyle3"/>
    <w:pPr>
      <w:widowControl w:val="0"/>
      <w:shd w:val="clear" w:color="auto" w:fill="FFFFFF"/>
      <w:spacing w:after="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after="3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